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66AF3361" w14:textId="77777777">
        <w:trPr>
          <w:trHeight w:val="1199"/>
        </w:trPr>
        <w:tc>
          <w:tcPr>
            <w:tcW w:w="9293" w:type="dxa"/>
            <w:gridSpan w:val="2"/>
          </w:tcPr>
          <w:p w14:paraId="027A5A30" w14:textId="0739B72B" w:rsidR="00467CEC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rPr>
                <w:rFonts w:ascii="Tahoma" w:hAnsi="Tahom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A485858" wp14:editId="6471DC91">
                      <wp:simplePos x="0" y="0"/>
                      <wp:positionH relativeFrom="column">
                        <wp:posOffset>1281388</wp:posOffset>
                      </wp:positionH>
                      <wp:positionV relativeFrom="paragraph">
                        <wp:posOffset>114840</wp:posOffset>
                      </wp:positionV>
                      <wp:extent cx="87630" cy="6858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" cy="68580"/>
                                <a:chOff x="0" y="0"/>
                                <a:chExt cx="87630" cy="685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763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" h="68580">
                                      <a:moveTo>
                                        <a:pt x="45358" y="0"/>
                                      </a:moveTo>
                                      <a:lnTo>
                                        <a:pt x="41546" y="0"/>
                                      </a:lnTo>
                                      <a:lnTo>
                                        <a:pt x="41344" y="37069"/>
                                      </a:lnTo>
                                      <a:lnTo>
                                        <a:pt x="35638" y="53778"/>
                                      </a:lnTo>
                                      <a:lnTo>
                                        <a:pt x="25359" y="61886"/>
                                      </a:lnTo>
                                      <a:lnTo>
                                        <a:pt x="11435" y="64008"/>
                                      </a:lnTo>
                                      <a:lnTo>
                                        <a:pt x="3811" y="64008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87285" y="68580"/>
                                      </a:lnTo>
                                      <a:lnTo>
                                        <a:pt x="87285" y="64008"/>
                                      </a:lnTo>
                                      <a:lnTo>
                                        <a:pt x="83474" y="64008"/>
                                      </a:lnTo>
                                      <a:lnTo>
                                        <a:pt x="63261" y="61886"/>
                                      </a:lnTo>
                                      <a:lnTo>
                                        <a:pt x="50980" y="53778"/>
                                      </a:lnTo>
                                      <a:lnTo>
                                        <a:pt x="45417" y="37069"/>
                                      </a:lnTo>
                                      <a:lnTo>
                                        <a:pt x="45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59A01" id="Group 1" o:spid="_x0000_s1026" style="position:absolute;margin-left:100.9pt;margin-top:9.05pt;width:6.9pt;height:5.4pt;z-index:15728640;mso-wrap-distance-left:0;mso-wrap-distance-right:0" coordsize="8763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">
    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upra</w:t>
            </w:r>
            <w:r w:rsidR="00517B1F">
              <w:rPr>
                <w:rFonts w:ascii="Tahoma" w:hAnsi="Tahoma"/>
                <w:sz w:val="20"/>
              </w:rPr>
              <w:t>vljanja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 w:rsidR="00467CEC">
              <w:rPr>
                <w:rFonts w:ascii="Tahoma" w:hAnsi="Tahoma"/>
                <w:spacing w:val="-4"/>
                <w:sz w:val="20"/>
              </w:rPr>
              <w:t xml:space="preserve">integriranom turističkom </w:t>
            </w:r>
            <w:r>
              <w:rPr>
                <w:rFonts w:ascii="Tahoma" w:hAnsi="Tahoma"/>
                <w:sz w:val="20"/>
              </w:rPr>
              <w:t>destinacijom</w:t>
            </w:r>
            <w:r w:rsidR="00467CEC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3CC337F4" w14:textId="63F7E774" w:rsidR="005438A0" w:rsidRDefault="00000000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E87830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28465931" w14:textId="77777777" w:rsidR="005438A0" w:rsidRDefault="005438A0">
            <w:pPr>
              <w:pStyle w:val="TableParagraph"/>
              <w:spacing w:before="176"/>
              <w:rPr>
                <w:rFonts w:ascii="Times New Roman"/>
                <w:sz w:val="20"/>
              </w:rPr>
            </w:pPr>
          </w:p>
          <w:p w14:paraId="2DD88691" w14:textId="4C34AB09" w:rsidR="005438A0" w:rsidRDefault="00000000">
            <w:pPr>
              <w:pStyle w:val="TableParagraph"/>
              <w:spacing w:before="1"/>
              <w:ind w:left="1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POZIV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JAVNOSTI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ZA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DOSTAVU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MIŠLJENJA,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PRIMJEDBI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I</w:t>
            </w:r>
            <w:r>
              <w:rPr>
                <w:rFonts w:ascii="Tahoma" w:hAnsi="Tahoma"/>
                <w:spacing w:val="-14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  <w:r>
              <w:rPr>
                <w:rFonts w:ascii="Tahoma" w:hAnsi="Tahoma"/>
                <w:spacing w:val="3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PUTEM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 xml:space="preserve">INTERNETSKOG </w:t>
            </w:r>
            <w:r>
              <w:rPr>
                <w:rFonts w:ascii="Tahoma" w:hAnsi="Tahoma"/>
                <w:sz w:val="20"/>
              </w:rPr>
              <w:t>SAVJETOVANJA S JAVNOŠĆU</w:t>
            </w:r>
          </w:p>
        </w:tc>
      </w:tr>
      <w:tr w:rsidR="005438A0" w14:paraId="16652A2A" w14:textId="77777777">
        <w:trPr>
          <w:trHeight w:val="7061"/>
        </w:trPr>
        <w:tc>
          <w:tcPr>
            <w:tcW w:w="2845" w:type="dxa"/>
          </w:tcPr>
          <w:p w14:paraId="6A52EDBF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A77AC9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2C255F3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0C2C7E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B7CAE1B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93027F0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0778EBC5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4F9A647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386CD719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4284A3BD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758A5256" w14:textId="77777777" w:rsidR="005438A0" w:rsidRDefault="005438A0">
            <w:pPr>
              <w:pStyle w:val="TableParagraph"/>
              <w:rPr>
                <w:rFonts w:ascii="Times New Roman"/>
              </w:rPr>
            </w:pPr>
          </w:p>
          <w:p w14:paraId="5685B4C9" w14:textId="77777777" w:rsidR="005438A0" w:rsidRDefault="005438A0">
            <w:pPr>
              <w:pStyle w:val="TableParagraph"/>
              <w:spacing w:before="103"/>
              <w:rPr>
                <w:rFonts w:ascii="Times New Roman"/>
              </w:rPr>
            </w:pPr>
          </w:p>
          <w:p w14:paraId="6275737C" w14:textId="77777777" w:rsidR="005438A0" w:rsidRDefault="00000000">
            <w:pPr>
              <w:pStyle w:val="TableParagraph"/>
              <w:spacing w:before="1" w:line="280" w:lineRule="auto"/>
              <w:ind w:left="1149" w:hanging="876"/>
            </w:pPr>
            <w:r>
              <w:rPr>
                <w:spacing w:val="-4"/>
              </w:rPr>
              <w:t>RAZLOZI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DONOŠENJA AKTA</w:t>
            </w:r>
          </w:p>
        </w:tc>
        <w:tc>
          <w:tcPr>
            <w:tcW w:w="6448" w:type="dxa"/>
          </w:tcPr>
          <w:p w14:paraId="4EDC4E89" w14:textId="6D067C8E" w:rsidR="005438A0" w:rsidRDefault="00000000">
            <w:pPr>
              <w:pStyle w:val="TableParagraph"/>
              <w:ind w:left="109" w:right="139" w:firstLine="57"/>
              <w:rPr>
                <w:sz w:val="21"/>
              </w:rPr>
            </w:pPr>
            <w:r>
              <w:rPr>
                <w:color w:val="414145"/>
                <w:sz w:val="21"/>
              </w:rPr>
              <w:t>Turističk</w:t>
            </w:r>
            <w:r w:rsidR="00467CEC">
              <w:rPr>
                <w:color w:val="414145"/>
                <w:sz w:val="21"/>
              </w:rPr>
              <w:t>e</w:t>
            </w:r>
            <w:r>
              <w:rPr>
                <w:color w:val="414145"/>
                <w:sz w:val="21"/>
              </w:rPr>
              <w:t xml:space="preserve"> zajednic</w:t>
            </w:r>
            <w:r w:rsidR="00467CEC">
              <w:rPr>
                <w:color w:val="414145"/>
                <w:sz w:val="21"/>
              </w:rPr>
              <w:t>e Općina Preko, Kali, Kukljica i Tkon</w:t>
            </w:r>
            <w:r w:rsidR="00FA182F">
              <w:rPr>
                <w:color w:val="414145"/>
                <w:sz w:val="21"/>
              </w:rPr>
              <w:t xml:space="preserve"> zajednički su pristupile izradi strateškog dokumenta</w:t>
            </w:r>
            <w:r>
              <w:rPr>
                <w:color w:val="414145"/>
                <w:sz w:val="21"/>
              </w:rPr>
              <w:t xml:space="preserve"> Plan upravljanja </w:t>
            </w:r>
            <w:r w:rsidR="00FA182F">
              <w:rPr>
                <w:color w:val="414145"/>
                <w:sz w:val="21"/>
              </w:rPr>
              <w:t>integriranom turističkom destinacijom sukladno</w:t>
            </w:r>
            <w:r>
              <w:rPr>
                <w:color w:val="414145"/>
                <w:sz w:val="21"/>
              </w:rPr>
              <w:t xml:space="preserve"> Zakon</w:t>
            </w:r>
            <w:r w:rsidR="00FA182F">
              <w:rPr>
                <w:color w:val="414145"/>
                <w:sz w:val="21"/>
              </w:rPr>
              <w:t>u</w:t>
            </w:r>
            <w:r>
              <w:rPr>
                <w:color w:val="414145"/>
                <w:sz w:val="21"/>
              </w:rPr>
              <w:t xml:space="preserve"> o turizmu (NN, br. 156/2023), Pravilnikom o metodologiji izrade plana upravljanja destinacijom (NN, br. 112/2024), Pravilnikom o pokazateljima za praćenje razvoja i održivosti turizma (NN, br. 112/2024) te Pravilnikom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</w:t>
            </w:r>
            <w:r>
              <w:rPr>
                <w:color w:val="414145"/>
                <w:spacing w:val="-8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metodologiji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izračuna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prihvatnog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kapaciteta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(NN,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 xml:space="preserve">br. </w:t>
            </w:r>
            <w:r>
              <w:rPr>
                <w:color w:val="414145"/>
                <w:spacing w:val="-2"/>
                <w:sz w:val="21"/>
              </w:rPr>
              <w:t>112/2024).</w:t>
            </w:r>
            <w:r w:rsidR="00FA182F">
              <w:rPr>
                <w:color w:val="414145"/>
                <w:spacing w:val="-2"/>
                <w:sz w:val="21"/>
              </w:rPr>
              <w:t xml:space="preserve"> Strateški dokument za turističke zajednice izradio je projektni tim Sveučilišta u Zadru.</w:t>
            </w:r>
          </w:p>
          <w:p w14:paraId="74BDCC96" w14:textId="5DD60C8E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 xml:space="preserve">Plan upravljanja destinacijom predstavlja temeljni planski dokument za razvoj održive turističke destinacije. Njegova </w:t>
            </w:r>
            <w:r w:rsidR="00FA182F">
              <w:rPr>
                <w:color w:val="414145"/>
                <w:sz w:val="21"/>
              </w:rPr>
              <w:t xml:space="preserve">je </w:t>
            </w:r>
            <w:r>
              <w:rPr>
                <w:color w:val="414145"/>
                <w:sz w:val="21"/>
              </w:rPr>
              <w:t>primarna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svrha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usmjeriti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razvoj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turizma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4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skladu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načelima održivosti, uz istodobno usklađivanje s aktima strateškog planiranja, prostorno-planskom dokumentacijom, planovima upravljanja kulturnim dobrima te drugim važećim propisima i razvojnim dokumentima.</w:t>
            </w:r>
          </w:p>
          <w:p w14:paraId="305E8922" w14:textId="3D2F6565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Plan se temelji na izračunu prihvatnog kapaciteta destinacije, izrađenom u skladu s propisanom metodologijom, čime se osigurava uravnotežen odnos između turističkih aktivnosti i očuvanja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prostora,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resursa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2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kvalitete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života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lokalnog</w:t>
            </w:r>
            <w:r>
              <w:rPr>
                <w:color w:val="414145"/>
                <w:spacing w:val="-3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stanovništva. Ujedno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usklađen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</w:t>
            </w:r>
            <w:r w:rsidR="00FA182F">
              <w:rPr>
                <w:color w:val="414145"/>
                <w:spacing w:val="-5"/>
                <w:sz w:val="21"/>
              </w:rPr>
              <w:t xml:space="preserve">a </w:t>
            </w:r>
            <w:r>
              <w:rPr>
                <w:color w:val="414145"/>
                <w:sz w:val="21"/>
              </w:rPr>
              <w:t>strateškim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dokum</w:t>
            </w:r>
            <w:r w:rsidR="00FA182F">
              <w:rPr>
                <w:color w:val="414145"/>
                <w:sz w:val="21"/>
              </w:rPr>
              <w:t>entom Planom upravljanja turističkom destinacijom Zadarske županije.</w:t>
            </w:r>
          </w:p>
          <w:p w14:paraId="35BFB3E5" w14:textId="77777777" w:rsidR="005438A0" w:rsidRDefault="00000000">
            <w:pPr>
              <w:pStyle w:val="TableParagraph"/>
              <w:spacing w:before="135"/>
              <w:ind w:left="109" w:right="139"/>
              <w:rPr>
                <w:sz w:val="21"/>
              </w:rPr>
            </w:pPr>
            <w:r>
              <w:rPr>
                <w:color w:val="414145"/>
                <w:sz w:val="21"/>
              </w:rPr>
              <w:t>Sukladno članku 25. Zakona o turizmu te članku 11. Zakona o pravu na pristup informacijama (NN, br. 25/13, 85/15 i 69/22), Prijedlog Plana upravljanja destinacijom i izračun prihvatnog kapaciteta upućuju se na javno savjetovanje. Objavom nacrta dokumenta,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uz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obrazloženje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ciljeva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i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razloga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njegova</w:t>
            </w:r>
            <w:r>
              <w:rPr>
                <w:color w:val="414145"/>
                <w:spacing w:val="-5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donošenja, omogućuje se sudjelovanje zainteresirane javnosti u postupku donošenja ovog strateškog dokumenta.</w:t>
            </w:r>
          </w:p>
        </w:tc>
      </w:tr>
      <w:tr w:rsidR="005438A0" w14:paraId="32DA2493" w14:textId="77777777">
        <w:trPr>
          <w:trHeight w:val="2414"/>
        </w:trPr>
        <w:tc>
          <w:tcPr>
            <w:tcW w:w="2845" w:type="dxa"/>
          </w:tcPr>
          <w:p w14:paraId="420F5C28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624F4EA2" w14:textId="77777777" w:rsidR="005438A0" w:rsidRDefault="005438A0">
            <w:pPr>
              <w:pStyle w:val="TableParagraph"/>
              <w:rPr>
                <w:rFonts w:ascii="Times New Roman"/>
                <w:sz w:val="20"/>
              </w:rPr>
            </w:pPr>
          </w:p>
          <w:p w14:paraId="17889078" w14:textId="77777777" w:rsidR="005438A0" w:rsidRDefault="005438A0">
            <w:pPr>
              <w:pStyle w:val="TableParagraph"/>
              <w:spacing w:before="141"/>
              <w:rPr>
                <w:rFonts w:ascii="Times New Roman"/>
                <w:sz w:val="20"/>
              </w:rPr>
            </w:pPr>
          </w:p>
          <w:p w14:paraId="6D1B097B" w14:textId="77777777" w:rsidR="005438A0" w:rsidRDefault="00000000">
            <w:pPr>
              <w:pStyle w:val="TableParagraph"/>
              <w:ind w:left="13" w:right="5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CILJEVI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PROVOĐENJA</w:t>
            </w:r>
          </w:p>
          <w:p w14:paraId="4147B53C" w14:textId="77777777" w:rsidR="005438A0" w:rsidRDefault="00000000">
            <w:pPr>
              <w:pStyle w:val="TableParagraph"/>
              <w:spacing w:before="37"/>
              <w:ind w:left="13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SAVJETOVANJA</w:t>
            </w:r>
          </w:p>
        </w:tc>
        <w:tc>
          <w:tcPr>
            <w:tcW w:w="6448" w:type="dxa"/>
          </w:tcPr>
          <w:p w14:paraId="77009AE1" w14:textId="1B925DE0" w:rsidR="005438A0" w:rsidRDefault="00000000">
            <w:pPr>
              <w:pStyle w:val="TableParagraph"/>
              <w:ind w:left="109" w:right="97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Izrada Plana upravljanja destinacijom predstavlja važan iskorak prema sustavnom i dugoročno održivom razvoju turizma. Dokument se temelji na analizi postojećeg stanja, definiranim pokazateljima održivosti i prihvatnog kapaciteta te jasno postavljenim razvojnim ciljevima i mjerama. Njegova provedba pridonijet će unapr</w:t>
            </w:r>
            <w:r w:rsidR="00517B1F">
              <w:rPr>
                <w:color w:val="414145"/>
                <w:sz w:val="21"/>
              </w:rPr>
              <w:t>j</w:t>
            </w:r>
            <w:r>
              <w:rPr>
                <w:color w:val="414145"/>
                <w:sz w:val="21"/>
              </w:rPr>
              <w:t>eđenju kvalitete turističke ponude, očuvanju prirodne i kulturne baštine te osiguravanju pozitivnih učinaka turizma na lokalnu zajednicu. Poseban naglasak stavlja se na razvoj cjelogodišnjeg turizma, diversifikaciju turističkih doživljaja te</w:t>
            </w:r>
          </w:p>
          <w:p w14:paraId="6D42B301" w14:textId="77777777" w:rsidR="005438A0" w:rsidRDefault="00000000">
            <w:pPr>
              <w:pStyle w:val="TableParagraph"/>
              <w:spacing w:line="221" w:lineRule="exact"/>
              <w:ind w:left="109"/>
              <w:jc w:val="both"/>
              <w:rPr>
                <w:sz w:val="21"/>
              </w:rPr>
            </w:pPr>
            <w:r>
              <w:rPr>
                <w:color w:val="414145"/>
                <w:sz w:val="21"/>
              </w:rPr>
              <w:t>jačanje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suradnje</w:t>
            </w:r>
            <w:r>
              <w:rPr>
                <w:color w:val="414145"/>
                <w:spacing w:val="-10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među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dionicima</w:t>
            </w:r>
            <w:r>
              <w:rPr>
                <w:color w:val="414145"/>
                <w:spacing w:val="-7"/>
                <w:sz w:val="21"/>
              </w:rPr>
              <w:t xml:space="preserve"> </w:t>
            </w:r>
            <w:r>
              <w:rPr>
                <w:color w:val="414145"/>
                <w:sz w:val="21"/>
              </w:rPr>
              <w:t>u</w:t>
            </w:r>
            <w:r>
              <w:rPr>
                <w:color w:val="414145"/>
                <w:spacing w:val="-6"/>
                <w:sz w:val="21"/>
              </w:rPr>
              <w:t xml:space="preserve"> </w:t>
            </w:r>
            <w:r>
              <w:rPr>
                <w:color w:val="414145"/>
                <w:spacing w:val="-2"/>
                <w:sz w:val="21"/>
              </w:rPr>
              <w:t>destinaciji.</w:t>
            </w:r>
          </w:p>
        </w:tc>
      </w:tr>
      <w:tr w:rsidR="005438A0" w14:paraId="679DCE7D" w14:textId="77777777">
        <w:trPr>
          <w:trHeight w:val="1257"/>
        </w:trPr>
        <w:tc>
          <w:tcPr>
            <w:tcW w:w="2845" w:type="dxa"/>
          </w:tcPr>
          <w:p w14:paraId="75B9F4F0" w14:textId="77777777" w:rsidR="005438A0" w:rsidRDefault="00000000">
            <w:pPr>
              <w:pStyle w:val="TableParagraph"/>
              <w:spacing w:before="114" w:line="276" w:lineRule="auto"/>
              <w:ind w:left="314" w:firstLine="132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ROK ZA PODNOŠENJE MIŠLJENJA,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PRIMJEDBI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</w:p>
          <w:p w14:paraId="79F69DB6" w14:textId="77777777" w:rsidR="005438A0" w:rsidRDefault="00000000">
            <w:pPr>
              <w:pStyle w:val="TableParagraph"/>
              <w:spacing w:before="2"/>
              <w:ind w:left="85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050D3925" w14:textId="77777777" w:rsidR="005438A0" w:rsidRDefault="005438A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5A08DCB2" w14:textId="77706FD5" w:rsidR="005438A0" w:rsidRDefault="00517B1F">
            <w:pPr>
              <w:pStyle w:val="TableParagraph"/>
              <w:ind w:left="109"/>
              <w:rPr>
                <w:rFonts w:ascii="Tahoma"/>
                <w:spacing w:val="-2"/>
                <w:sz w:val="20"/>
              </w:rPr>
            </w:pPr>
            <w:r>
              <w:rPr>
                <w:rFonts w:ascii="Tahoma"/>
                <w:sz w:val="20"/>
              </w:rPr>
              <w:t>Od 2</w:t>
            </w:r>
            <w:r w:rsidR="00E0782A">
              <w:rPr>
                <w:rFonts w:ascii="Tahoma"/>
                <w:sz w:val="20"/>
              </w:rPr>
              <w:t>3</w:t>
            </w:r>
            <w:r>
              <w:rPr>
                <w:rFonts w:ascii="Tahoma"/>
                <w:sz w:val="20"/>
              </w:rPr>
              <w:t>.</w:t>
            </w:r>
            <w:r w:rsidR="00467CEC">
              <w:rPr>
                <w:rFonts w:ascii="Tahoma"/>
                <w:sz w:val="20"/>
              </w:rPr>
              <w:t>6</w:t>
            </w:r>
            <w:r>
              <w:rPr>
                <w:rFonts w:ascii="Tahoma"/>
                <w:sz w:val="20"/>
              </w:rPr>
              <w:t>.2026.g.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do</w:t>
            </w:r>
            <w:r>
              <w:rPr>
                <w:rFonts w:ascii="Tahoma"/>
                <w:spacing w:val="-6"/>
                <w:sz w:val="20"/>
              </w:rPr>
              <w:t xml:space="preserve">  </w:t>
            </w:r>
            <w:r>
              <w:rPr>
                <w:rFonts w:ascii="Tahoma"/>
                <w:spacing w:val="-2"/>
                <w:sz w:val="20"/>
              </w:rPr>
              <w:t>2</w:t>
            </w:r>
            <w:r w:rsidR="00E0782A">
              <w:rPr>
                <w:rFonts w:ascii="Tahoma"/>
                <w:spacing w:val="-2"/>
                <w:sz w:val="20"/>
              </w:rPr>
              <w:t>3</w:t>
            </w:r>
            <w:r>
              <w:rPr>
                <w:rFonts w:ascii="Tahoma"/>
                <w:spacing w:val="-2"/>
                <w:sz w:val="20"/>
              </w:rPr>
              <w:t>.</w:t>
            </w:r>
            <w:r w:rsidR="00467CEC">
              <w:rPr>
                <w:rFonts w:ascii="Tahoma"/>
                <w:spacing w:val="-2"/>
                <w:sz w:val="20"/>
              </w:rPr>
              <w:t>7</w:t>
            </w:r>
            <w:r>
              <w:rPr>
                <w:rFonts w:ascii="Tahoma"/>
                <w:spacing w:val="-2"/>
                <w:sz w:val="20"/>
              </w:rPr>
              <w:t>.2026.g.</w:t>
            </w:r>
          </w:p>
          <w:p w14:paraId="6755F4D0" w14:textId="341FF251" w:rsidR="00AE12F7" w:rsidRDefault="00AE12F7">
            <w:pPr>
              <w:pStyle w:val="TableParagraph"/>
              <w:ind w:left="10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Plan upravljanja integriranom turisti</w:t>
            </w:r>
            <w:r>
              <w:rPr>
                <w:rFonts w:ascii="Tahoma"/>
                <w:spacing w:val="-2"/>
                <w:sz w:val="20"/>
              </w:rPr>
              <w:t>č</w:t>
            </w:r>
            <w:r>
              <w:rPr>
                <w:rFonts w:ascii="Tahoma"/>
                <w:spacing w:val="-2"/>
                <w:sz w:val="20"/>
              </w:rPr>
              <w:t xml:space="preserve">kom destinacijom objavljen je na </w:t>
            </w:r>
            <w:r w:rsidR="004A4CB6">
              <w:rPr>
                <w:rFonts w:ascii="Tahoma"/>
                <w:spacing w:val="-2"/>
                <w:sz w:val="20"/>
              </w:rPr>
              <w:t>mre</w:t>
            </w:r>
            <w:r w:rsidR="004A4CB6">
              <w:rPr>
                <w:rFonts w:ascii="Tahoma"/>
                <w:spacing w:val="-2"/>
                <w:sz w:val="20"/>
              </w:rPr>
              <w:t>ž</w:t>
            </w:r>
            <w:r w:rsidR="004A4CB6">
              <w:rPr>
                <w:rFonts w:ascii="Tahoma"/>
                <w:spacing w:val="-2"/>
                <w:sz w:val="20"/>
              </w:rPr>
              <w:t xml:space="preserve">noj </w:t>
            </w:r>
            <w:r>
              <w:rPr>
                <w:rFonts w:ascii="Tahoma"/>
                <w:spacing w:val="-2"/>
                <w:sz w:val="20"/>
              </w:rPr>
              <w:t>stranici Op</w:t>
            </w:r>
            <w:r>
              <w:rPr>
                <w:rFonts w:ascii="Tahoma"/>
                <w:spacing w:val="-2"/>
                <w:sz w:val="20"/>
              </w:rPr>
              <w:t>ć</w:t>
            </w:r>
            <w:r>
              <w:rPr>
                <w:rFonts w:ascii="Tahoma"/>
                <w:spacing w:val="-2"/>
                <w:sz w:val="20"/>
              </w:rPr>
              <w:t xml:space="preserve">ine Preko </w:t>
            </w:r>
            <w:hyperlink r:id="rId4" w:history="1">
              <w:r w:rsidR="00517B1F" w:rsidRPr="00A02B44">
                <w:rPr>
                  <w:rStyle w:val="Hyperlink"/>
                  <w:rFonts w:ascii="Tahoma"/>
                  <w:spacing w:val="-2"/>
                  <w:sz w:val="20"/>
                </w:rPr>
                <w:t>https://www.opcina-preko.hr/</w:t>
              </w:r>
            </w:hyperlink>
            <w:r w:rsidR="00517B1F">
              <w:rPr>
                <w:rFonts w:ascii="Tahoma"/>
                <w:spacing w:val="-2"/>
                <w:sz w:val="20"/>
              </w:rPr>
              <w:t xml:space="preserve"> .</w:t>
            </w:r>
          </w:p>
        </w:tc>
      </w:tr>
    </w:tbl>
    <w:p w14:paraId="2C078613" w14:textId="77777777" w:rsidR="005438A0" w:rsidRDefault="005438A0">
      <w:pPr>
        <w:pStyle w:val="TableParagraph"/>
        <w:rPr>
          <w:rFonts w:ascii="Tahoma"/>
          <w:sz w:val="20"/>
        </w:rPr>
        <w:sectPr w:rsidR="005438A0">
          <w:type w:val="continuous"/>
          <w:pgSz w:w="12240" w:h="15840"/>
          <w:pgMar w:top="1640" w:right="1440" w:bottom="1646" w:left="1440" w:header="720" w:footer="720" w:gutter="0"/>
          <w:cols w:space="720"/>
        </w:sectPr>
      </w:pPr>
    </w:p>
    <w:tbl>
      <w:tblPr>
        <w:tblStyle w:val="TableNormal1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448"/>
      </w:tblGrid>
      <w:tr w:rsidR="005438A0" w14:paraId="00947C72" w14:textId="77777777">
        <w:trPr>
          <w:trHeight w:val="1144"/>
        </w:trPr>
        <w:tc>
          <w:tcPr>
            <w:tcW w:w="2845" w:type="dxa"/>
          </w:tcPr>
          <w:p w14:paraId="37AF59A0" w14:textId="77777777" w:rsidR="005438A0" w:rsidRDefault="00000000">
            <w:pPr>
              <w:pStyle w:val="TableParagraph"/>
              <w:spacing w:before="59" w:line="276" w:lineRule="auto"/>
              <w:ind w:left="263" w:right="250" w:firstLine="40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ADRESA I NAČIN PODNOŠENJA</w:t>
            </w:r>
            <w:r>
              <w:rPr>
                <w:rFonts w:ascii="Tahoma" w:hAnsi="Tahoma"/>
                <w:spacing w:val="-1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MIŠLJENJA, PRIMJEDBI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PRIJEDLOGA</w:t>
            </w:r>
          </w:p>
        </w:tc>
        <w:tc>
          <w:tcPr>
            <w:tcW w:w="6448" w:type="dxa"/>
          </w:tcPr>
          <w:p w14:paraId="5D0E16FB" w14:textId="1107745C" w:rsidR="005438A0" w:rsidRDefault="00000000">
            <w:pPr>
              <w:pStyle w:val="TableParagraph"/>
              <w:spacing w:before="59" w:line="276" w:lineRule="auto"/>
              <w:ind w:left="109" w:right="96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sz w:val="20"/>
              </w:rPr>
              <w:t>Pisane primjedbe na</w:t>
            </w:r>
            <w:r>
              <w:rPr>
                <w:rFonts w:ascii="Tahoma" w:hAnsi="Tahoma"/>
                <w:spacing w:val="4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prijedlog Odluke dostavljaju se na zadanom obrascu (u prilogu) i to elektroničkom poštom na e-mail: </w:t>
            </w:r>
            <w:hyperlink r:id="rId5" w:history="1">
              <w:r w:rsidR="00467CEC" w:rsidRPr="00A02B44">
                <w:rPr>
                  <w:rStyle w:val="Hyperlink"/>
                  <w:rFonts w:ascii="Tahoma" w:hAnsi="Tahoma"/>
                  <w:b/>
                  <w:spacing w:val="-2"/>
                  <w:sz w:val="20"/>
                </w:rPr>
                <w:t>drazena.kurtin@preko.hr</w:t>
              </w:r>
            </w:hyperlink>
          </w:p>
        </w:tc>
      </w:tr>
      <w:tr w:rsidR="005438A0" w14:paraId="777ECFC2" w14:textId="77777777">
        <w:trPr>
          <w:trHeight w:val="1312"/>
        </w:trPr>
        <w:tc>
          <w:tcPr>
            <w:tcW w:w="9293" w:type="dxa"/>
            <w:gridSpan w:val="2"/>
          </w:tcPr>
          <w:p w14:paraId="5B76CC0C" w14:textId="77777777" w:rsidR="005438A0" w:rsidRDefault="00000000">
            <w:pPr>
              <w:pStyle w:val="TableParagraph"/>
              <w:spacing w:before="1" w:line="276" w:lineRule="auto"/>
              <w:ind w:left="110" w:right="106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Sukladno odredbama članka 11. Zakona o pravu na pristup informacijama (Narodne novine, broj 25/13, 85/15, 69/22) po isteku roka za dostavu mišljenja i prijedloga nositelj izrade akta dužan je na internetskoj stranici objaviti izvješće o savjetovanju s javnošću, koje sadrži zaprimljene prijedloge i primjedbe te očitovanja s razlozima za neprihvaćanje pojedinih prijedloga i primjedbi.</w:t>
            </w:r>
          </w:p>
        </w:tc>
      </w:tr>
    </w:tbl>
    <w:p w14:paraId="56F54441" w14:textId="77777777" w:rsidR="00997106" w:rsidRDefault="00997106"/>
    <w:sectPr w:rsidR="00997106">
      <w:type w:val="continuous"/>
      <w:pgSz w:w="12240" w:h="15840"/>
      <w:pgMar w:top="11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8A0"/>
    <w:rsid w:val="00074946"/>
    <w:rsid w:val="00146FE1"/>
    <w:rsid w:val="00293348"/>
    <w:rsid w:val="004605B2"/>
    <w:rsid w:val="00467CEC"/>
    <w:rsid w:val="004A4CB6"/>
    <w:rsid w:val="00517B1F"/>
    <w:rsid w:val="005438A0"/>
    <w:rsid w:val="00997106"/>
    <w:rsid w:val="00AE12F7"/>
    <w:rsid w:val="00BA0F5D"/>
    <w:rsid w:val="00E0782A"/>
    <w:rsid w:val="00E87830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37BE"/>
  <w15:docId w15:val="{2B94B3D8-CAFB-4FAF-84E8-190733E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67C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azena.kurtin@preko.hr" TargetMode="External"/><Relationship Id="rId4" Type="http://schemas.openxmlformats.org/officeDocument/2006/relationships/hyperlink" Target="https://www.opcina-preko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Ivana Lončar-Mašina</cp:lastModifiedBy>
  <cp:revision>10</cp:revision>
  <dcterms:created xsi:type="dcterms:W3CDTF">2026-06-17T13:29:00Z</dcterms:created>
  <dcterms:modified xsi:type="dcterms:W3CDTF">2026-06-18T09:39:00Z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za Microsoft 365</vt:lpwstr>
  </property>
</Properties>
</file>